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text"/>
        <w:tblW w:w="5000" w:type="pct"/>
        <w:tblCellMar>
          <w:left w:w="0" w:type="dxa"/>
          <w:right w:w="0" w:type="dxa"/>
        </w:tblCellMar>
        <w:tblLook w:val="04A0" w:firstRow="1" w:lastRow="0" w:firstColumn="1" w:lastColumn="0" w:noHBand="0" w:noVBand="1"/>
      </w:tblPr>
      <w:tblGrid>
        <w:gridCol w:w="2268"/>
        <w:gridCol w:w="2268"/>
        <w:gridCol w:w="2268"/>
        <w:gridCol w:w="2268"/>
      </w:tblGrid>
      <w:tr w:rsidR="009439BD" w:rsidRPr="009439BD" w:rsidTr="009439BD">
        <w:trPr>
          <w:trHeight w:val="737"/>
        </w:trPr>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9439BD" w:rsidRPr="009439BD" w:rsidRDefault="009439BD" w:rsidP="009439BD">
            <w:pPr>
              <w:spacing w:before="96" w:after="0" w:line="240" w:lineRule="auto"/>
              <w:rPr>
                <w:rFonts w:ascii="Times New Roman" w:eastAsia="Times New Roman" w:hAnsi="Times New Roman" w:cs="Times New Roman"/>
                <w:sz w:val="24"/>
                <w:szCs w:val="24"/>
                <w:lang w:eastAsia="bg-BG"/>
              </w:rPr>
            </w:pPr>
            <w:r w:rsidRPr="009439BD">
              <w:rPr>
                <w:rFonts w:ascii="Arial Narrow" w:eastAsia="Times New Roman" w:hAnsi="Arial Narrow" w:cs="Times New Roman"/>
                <w:b/>
                <w:bCs/>
                <w:sz w:val="24"/>
                <w:szCs w:val="24"/>
                <w:lang w:eastAsia="bg-BG"/>
              </w:rPr>
              <w:t>MINISTERS’ DEPUTIES</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9439BD" w:rsidRPr="009439BD" w:rsidRDefault="009439BD" w:rsidP="009439BD">
            <w:pPr>
              <w:spacing w:before="96" w:after="0" w:line="240" w:lineRule="auto"/>
              <w:ind w:left="-108"/>
              <w:jc w:val="center"/>
              <w:rPr>
                <w:rFonts w:ascii="Times New Roman" w:eastAsia="Times New Roman" w:hAnsi="Times New Roman" w:cs="Times New Roman"/>
                <w:sz w:val="24"/>
                <w:szCs w:val="24"/>
                <w:lang w:eastAsia="bg-BG"/>
              </w:rPr>
            </w:pPr>
            <w:r w:rsidRPr="009439BD">
              <w:rPr>
                <w:rFonts w:ascii="Arial Narrow" w:eastAsia="Times New Roman" w:hAnsi="Arial Narrow" w:cs="Times New Roman"/>
                <w:sz w:val="24"/>
                <w:szCs w:val="24"/>
                <w:lang w:eastAsia="bg-BG"/>
              </w:rPr>
              <w:t>Resolutions</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9439BD" w:rsidRPr="009439BD" w:rsidRDefault="009439BD" w:rsidP="009439BD">
            <w:pPr>
              <w:spacing w:before="96" w:after="0" w:line="240" w:lineRule="auto"/>
              <w:ind w:left="-40"/>
              <w:jc w:val="center"/>
              <w:rPr>
                <w:rFonts w:ascii="Times New Roman" w:eastAsia="Times New Roman" w:hAnsi="Times New Roman" w:cs="Times New Roman"/>
                <w:sz w:val="24"/>
                <w:szCs w:val="24"/>
                <w:lang w:eastAsia="bg-BG"/>
              </w:rPr>
            </w:pPr>
            <w:r w:rsidRPr="009439BD">
              <w:rPr>
                <w:rFonts w:ascii="Arial Narrow" w:eastAsia="Times New Roman" w:hAnsi="Arial Narrow" w:cs="Times New Roman"/>
                <w:b/>
                <w:bCs/>
                <w:sz w:val="24"/>
                <w:szCs w:val="24"/>
                <w:lang w:eastAsia="bg-BG"/>
              </w:rPr>
              <w:t>CM/ResCMN(2021)1</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9439BD" w:rsidRPr="009439BD" w:rsidRDefault="009439BD" w:rsidP="009439BD">
            <w:pPr>
              <w:spacing w:before="96" w:after="0" w:line="240" w:lineRule="auto"/>
              <w:jc w:val="right"/>
              <w:rPr>
                <w:rFonts w:ascii="Times New Roman" w:eastAsia="Times New Roman" w:hAnsi="Times New Roman" w:cs="Times New Roman"/>
                <w:sz w:val="24"/>
                <w:szCs w:val="24"/>
                <w:lang w:eastAsia="bg-BG"/>
              </w:rPr>
            </w:pPr>
            <w:r w:rsidRPr="009439BD">
              <w:rPr>
                <w:rFonts w:ascii="Arial Narrow" w:eastAsia="Times New Roman" w:hAnsi="Arial Narrow" w:cs="Times New Roman"/>
                <w:sz w:val="16"/>
                <w:szCs w:val="16"/>
                <w:lang w:eastAsia="bg-BG"/>
              </w:rPr>
              <w:t>14 January 2021</w:t>
            </w:r>
          </w:p>
        </w:tc>
      </w:tr>
    </w:tbl>
    <w:tbl>
      <w:tblPr>
        <w:tblpPr w:leftFromText="45" w:rightFromText="45" w:vertAnchor="text"/>
        <w:tblW w:w="0" w:type="auto"/>
        <w:tblCellMar>
          <w:left w:w="0" w:type="dxa"/>
          <w:right w:w="0" w:type="dxa"/>
        </w:tblCellMar>
        <w:tblLook w:val="04A0" w:firstRow="1" w:lastRow="0" w:firstColumn="1" w:lastColumn="0" w:noHBand="0" w:noVBand="1"/>
      </w:tblPr>
      <w:tblGrid>
        <w:gridCol w:w="288"/>
      </w:tblGrid>
      <w:tr w:rsidR="009439BD" w:rsidRPr="009439BD" w:rsidTr="009439BD">
        <w:tc>
          <w:tcPr>
            <w:tcW w:w="0" w:type="auto"/>
            <w:shd w:val="clear" w:color="auto" w:fill="auto"/>
            <w:tcMar>
              <w:top w:w="0" w:type="dxa"/>
              <w:left w:w="141" w:type="dxa"/>
              <w:bottom w:w="0" w:type="dxa"/>
              <w:right w:w="141" w:type="dxa"/>
            </w:tcMar>
            <w:hideMark/>
          </w:tcPr>
          <w:p w:rsidR="009439BD" w:rsidRPr="009439BD" w:rsidRDefault="009439BD" w:rsidP="009439BD">
            <w:pPr>
              <w:spacing w:after="0" w:line="240" w:lineRule="auto"/>
              <w:rPr>
                <w:rFonts w:ascii="Helvetica" w:eastAsia="Times New Roman" w:hAnsi="Helvetica" w:cs="Helvetica"/>
                <w:color w:val="333333"/>
                <w:sz w:val="20"/>
                <w:szCs w:val="20"/>
                <w:lang w:eastAsia="bg-BG"/>
              </w:rPr>
            </w:pPr>
          </w:p>
        </w:tc>
      </w:tr>
    </w:tbl>
    <w:tbl>
      <w:tblPr>
        <w:tblW w:w="5000" w:type="pct"/>
        <w:tblCellMar>
          <w:left w:w="0" w:type="dxa"/>
          <w:right w:w="0" w:type="dxa"/>
        </w:tblCellMar>
        <w:tblLook w:val="04A0" w:firstRow="1" w:lastRow="0" w:firstColumn="1" w:lastColumn="0" w:noHBand="0" w:noVBand="1"/>
      </w:tblPr>
      <w:tblGrid>
        <w:gridCol w:w="9072"/>
      </w:tblGrid>
      <w:tr w:rsidR="009439BD" w:rsidRPr="009439BD" w:rsidTr="009439BD">
        <w:trPr>
          <w:trHeight w:val="1251"/>
        </w:trPr>
        <w:tc>
          <w:tcPr>
            <w:tcW w:w="9399" w:type="dxa"/>
            <w:tcBorders>
              <w:top w:val="nil"/>
              <w:left w:val="nil"/>
              <w:bottom w:val="single" w:sz="8" w:space="0" w:color="auto"/>
              <w:right w:val="nil"/>
            </w:tcBorders>
            <w:shd w:val="clear" w:color="auto" w:fill="auto"/>
            <w:tcMar>
              <w:top w:w="227" w:type="dxa"/>
              <w:left w:w="0" w:type="dxa"/>
              <w:bottom w:w="227" w:type="dxa"/>
              <w:right w:w="0" w:type="dxa"/>
            </w:tcMar>
            <w:vAlign w:val="center"/>
            <w:hideMark/>
          </w:tcPr>
          <w:p w:rsidR="009439BD" w:rsidRPr="009439BD" w:rsidRDefault="009439BD" w:rsidP="009439BD">
            <w:pPr>
              <w:spacing w:before="96" w:after="0" w:line="240" w:lineRule="auto"/>
              <w:rPr>
                <w:rFonts w:ascii="Times New Roman" w:eastAsia="Times New Roman" w:hAnsi="Times New Roman" w:cs="Times New Roman"/>
                <w:sz w:val="24"/>
                <w:szCs w:val="24"/>
                <w:lang w:eastAsia="bg-BG"/>
              </w:rPr>
            </w:pPr>
            <w:bookmarkStart w:id="0" w:name="_GoBack"/>
            <w:r w:rsidRPr="009439BD">
              <w:rPr>
                <w:rFonts w:ascii="Arial Narrow" w:eastAsia="Times New Roman" w:hAnsi="Arial Narrow" w:cs="Times New Roman"/>
                <w:b/>
                <w:bCs/>
                <w:sz w:val="28"/>
                <w:szCs w:val="28"/>
                <w:lang w:eastAsia="bg-BG"/>
              </w:rPr>
              <w:t xml:space="preserve">Resolution CM/ResCMN(2021)1 </w:t>
            </w:r>
            <w:bookmarkEnd w:id="0"/>
            <w:r w:rsidRPr="009439BD">
              <w:rPr>
                <w:rFonts w:ascii="Arial Narrow" w:eastAsia="Times New Roman" w:hAnsi="Arial Narrow" w:cs="Times New Roman"/>
                <w:b/>
                <w:bCs/>
                <w:sz w:val="28"/>
                <w:szCs w:val="28"/>
                <w:lang w:eastAsia="bg-BG"/>
              </w:rPr>
              <w:t>on the implementation of the Framework Convention for the Protection of National Minorities by Bulgaria</w:t>
            </w:r>
          </w:p>
          <w:p w:rsidR="009439BD" w:rsidRPr="009439BD" w:rsidRDefault="009439BD" w:rsidP="009439BD">
            <w:pPr>
              <w:spacing w:before="96" w:after="0" w:line="240" w:lineRule="auto"/>
              <w:rPr>
                <w:rFonts w:ascii="Times New Roman" w:eastAsia="Times New Roman" w:hAnsi="Times New Roman" w:cs="Times New Roman"/>
                <w:sz w:val="24"/>
                <w:szCs w:val="24"/>
                <w:lang w:eastAsia="bg-BG"/>
              </w:rPr>
            </w:pPr>
            <w:r w:rsidRPr="009439BD">
              <w:rPr>
                <w:rFonts w:ascii="Arial Narrow" w:eastAsia="Times New Roman" w:hAnsi="Arial Narrow" w:cs="Times New Roman"/>
                <w:i/>
                <w:iCs/>
                <w:lang w:eastAsia="bg-BG"/>
              </w:rPr>
              <w:t>(Adopted by the Committee of Ministers on 13 January 2021</w:t>
            </w:r>
          </w:p>
          <w:p w:rsidR="009439BD" w:rsidRPr="009439BD" w:rsidRDefault="009439BD" w:rsidP="009439BD">
            <w:pPr>
              <w:spacing w:before="96" w:after="0" w:line="240" w:lineRule="auto"/>
              <w:rPr>
                <w:rFonts w:ascii="Times New Roman" w:eastAsia="Times New Roman" w:hAnsi="Times New Roman" w:cs="Times New Roman"/>
                <w:sz w:val="24"/>
                <w:szCs w:val="24"/>
                <w:lang w:eastAsia="bg-BG"/>
              </w:rPr>
            </w:pPr>
            <w:r w:rsidRPr="009439BD">
              <w:rPr>
                <w:rFonts w:ascii="Arial Narrow" w:eastAsia="Times New Roman" w:hAnsi="Arial Narrow" w:cs="Times New Roman"/>
                <w:i/>
                <w:iCs/>
                <w:lang w:eastAsia="bg-BG"/>
              </w:rPr>
              <w:t>at the 1392</w:t>
            </w:r>
            <w:r w:rsidRPr="009439BD">
              <w:rPr>
                <w:rFonts w:ascii="Arial Narrow" w:eastAsia="Times New Roman" w:hAnsi="Arial Narrow" w:cs="Times New Roman"/>
                <w:i/>
                <w:iCs/>
                <w:sz w:val="17"/>
                <w:szCs w:val="17"/>
                <w:vertAlign w:val="superscript"/>
                <w:lang w:eastAsia="bg-BG"/>
              </w:rPr>
              <w:t>nd</w:t>
            </w:r>
            <w:r w:rsidRPr="009439BD">
              <w:rPr>
                <w:rFonts w:ascii="Arial Narrow" w:eastAsia="Times New Roman" w:hAnsi="Arial Narrow" w:cs="Times New Roman"/>
                <w:i/>
                <w:iCs/>
                <w:lang w:eastAsia="bg-BG"/>
              </w:rPr>
              <w:t> meeting of the Ministers' Deputies)</w:t>
            </w:r>
          </w:p>
        </w:tc>
      </w:tr>
    </w:tbl>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 </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 </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The Committee of Ministers, under the terms of Articles 24 to 26 of the Framework Convention for the Protection of National Minorities (hereinafter referred to as “the Framework Convention”),</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Having regard to Resolution </w:t>
      </w:r>
      <w:hyperlink r:id="rId4" w:tooltip="Resolution on the revised monitoring arrangements under Articles 24 to 26 of the Framework Convention for the Protection of National Minorities (Adopted by the Committee of Ministers on 11 December 2019 at the 1363rd meeting of the Ministers' Deputies)" w:history="1">
        <w:r w:rsidRPr="009439BD">
          <w:rPr>
            <w:rFonts w:ascii="Helvetica" w:eastAsia="Times New Roman" w:hAnsi="Helvetica" w:cs="Helvetica"/>
            <w:color w:val="129AF0"/>
            <w:sz w:val="20"/>
            <w:szCs w:val="20"/>
            <w:u w:val="single"/>
            <w:lang w:eastAsia="bg-BG"/>
          </w:rPr>
          <w:t>CM/Res(2019)49</w:t>
        </w:r>
      </w:hyperlink>
      <w:r w:rsidRPr="009439BD">
        <w:rPr>
          <w:rFonts w:ascii="Helvetica" w:eastAsia="Times New Roman" w:hAnsi="Helvetica" w:cs="Helvetica"/>
          <w:color w:val="333333"/>
          <w:sz w:val="20"/>
          <w:szCs w:val="20"/>
          <w:lang w:eastAsia="bg-BG"/>
        </w:rPr>
        <w:t> of 11 December 2019 on the revised monitoring arrangements under Articles 24 to 26 of the Framework Convention;</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Having regard to the applicable voting rule;</w:t>
      </w:r>
      <w:hyperlink r:id="rId5" w:anchor="_ftn1" w:history="1">
        <w:r w:rsidRPr="009439BD">
          <w:rPr>
            <w:rFonts w:ascii="Arial" w:eastAsia="Times New Roman" w:hAnsi="Arial" w:cs="Arial"/>
            <w:color w:val="129AF0"/>
            <w:sz w:val="20"/>
            <w:szCs w:val="20"/>
            <w:u w:val="single"/>
            <w:vertAlign w:val="superscript"/>
            <w:lang w:eastAsia="bg-BG"/>
          </w:rPr>
          <w:t>[1]</w:t>
        </w:r>
      </w:hyperlink>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Having regard to the instrument of ratification deposited by Bulgaria on 7 May 1999;</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Recalling that the Government of Bulgaria transmitted its State report in respect of the fourth monitoring cycle under the Framework Convention on 7 December 2017;</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Having examined the Advisory Committee’s fourth opinion on Bulgaria adopted on 26 May 2020,</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Adopts the following conclusions in respect of Bulgaria:</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The authorities are invited to take account of the observations and recommendations contained in the Advisory Committee’s fourth opinion. In particular, they should take the following measures to improve further the implementation of the Framework Convention:</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b/>
          <w:bCs/>
          <w:color w:val="333333"/>
          <w:sz w:val="20"/>
          <w:szCs w:val="20"/>
          <w:lang w:eastAsia="bg-BG"/>
        </w:rPr>
        <w:t>Recommendations for immediate action</w:t>
      </w:r>
      <w:r w:rsidRPr="009439BD">
        <w:rPr>
          <w:rFonts w:ascii="Helvetica" w:eastAsia="Times New Roman" w:hAnsi="Helvetica" w:cs="Helvetica"/>
          <w:color w:val="333333"/>
          <w:sz w:val="20"/>
          <w:szCs w:val="20"/>
          <w:lang w:eastAsia="bg-BG"/>
        </w:rPr>
        <w:t>:</w:t>
      </w:r>
      <w:hyperlink r:id="rId6" w:anchor="_ftn2" w:history="1">
        <w:r w:rsidRPr="009439BD">
          <w:rPr>
            <w:rFonts w:ascii="Arial" w:eastAsia="Times New Roman" w:hAnsi="Arial" w:cs="Arial"/>
            <w:b/>
            <w:bCs/>
            <w:color w:val="129AF0"/>
            <w:sz w:val="20"/>
            <w:szCs w:val="20"/>
            <w:u w:val="single"/>
            <w:lang w:eastAsia="bg-BG"/>
          </w:rPr>
          <w:t>[2]</w:t>
        </w:r>
      </w:hyperlink>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1.</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develop, adopt, implement and regularly evaluate, with the effective participation of members of the Roma communities and other stakeholders, a comprehensive new Strategy for Roma inclusion for 2021 onwards. The authorities should continue prioritising access to education for Roma children, extend the education mediators programme and combat segregation. Evictions of Roma from informal housing should be carried out only as a last resort and in compliance with the principles of non-discrimination and proportionality. The necessary legislation should be swiftly adopted;</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2.</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ensure the independence, impartiality and effectiveness of the Commission for Protection against Discrimination by introducing functional immunity regarding decisions taken by its members during their term of office, continuing to depoliticise its appointment procedure and providing for sufficient funding to enlarge its regional presence to all 28 provinces;</w:t>
      </w:r>
    </w:p>
    <w:p w:rsidR="009439BD" w:rsidRPr="009439BD" w:rsidRDefault="009439BD" w:rsidP="009439BD">
      <w:pPr>
        <w:shd w:val="clear" w:color="auto" w:fill="FFFFFF"/>
        <w:spacing w:after="0" w:line="240" w:lineRule="auto"/>
        <w:rPr>
          <w:rFonts w:ascii="Helvetica" w:eastAsia="Times New Roman" w:hAnsi="Helvetica" w:cs="Helvetica"/>
          <w:color w:val="333333"/>
          <w:sz w:val="20"/>
          <w:szCs w:val="20"/>
          <w:lang w:eastAsia="bg-BG"/>
        </w:rPr>
      </w:pPr>
      <w:r w:rsidRPr="009439BD">
        <w:rPr>
          <w:rFonts w:ascii="Arial" w:eastAsia="Times New Roman" w:hAnsi="Arial" w:cs="Arial"/>
          <w:color w:val="333333"/>
          <w:sz w:val="20"/>
          <w:szCs w:val="20"/>
          <w:lang w:eastAsia="bg-BG"/>
        </w:rPr>
        <w:br w:type="textWrapping" w:clear="all"/>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3.</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ensure that racially or ethnically motivated attacks and discrimination are identified, recorded and effectively investigated and that those responsible are brought to justice; take measures to raise awareness of the remedies available to reduce underreporting of hate crime. Furthermore, the authorities should combat and firmly condemn all instances of anti-Gypsy discourse by politicians and other public figures and actively support awareness-raising measures against anti-Gypsyism in society;</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4.</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promote mother tongue education, in close consultation with representatives of minority groups, by introducing it at preschool and secondary levels, providing for the teaching of different subjects in mother tongue and introducing a standard procedure for informing parents of the local possibilities of accessing teaching in or of mother tongue.</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b/>
          <w:bCs/>
          <w:color w:val="333333"/>
          <w:sz w:val="20"/>
          <w:szCs w:val="20"/>
          <w:lang w:eastAsia="bg-BG"/>
        </w:rPr>
        <w:t>Further recommendations:</w:t>
      </w:r>
      <w:hyperlink r:id="rId7" w:anchor="_ftn3" w:history="1">
        <w:r w:rsidRPr="009439BD">
          <w:rPr>
            <w:rFonts w:ascii="Arial" w:eastAsia="Times New Roman" w:hAnsi="Arial" w:cs="Arial"/>
            <w:b/>
            <w:bCs/>
            <w:color w:val="129AF0"/>
            <w:sz w:val="20"/>
            <w:szCs w:val="20"/>
            <w:u w:val="single"/>
            <w:vertAlign w:val="superscript"/>
            <w:lang w:eastAsia="bg-BG"/>
          </w:rPr>
          <w:t>[3]</w:t>
        </w:r>
      </w:hyperlink>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1.</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xml:space="preserve"> enter into a dialogue with groups having expressed an interest in the protection afforded by the Framework Convention and consider the possibility of applying its provisions to persons belonging to </w:t>
      </w:r>
      <w:r w:rsidRPr="009439BD">
        <w:rPr>
          <w:rFonts w:ascii="Helvetica" w:eastAsia="Times New Roman" w:hAnsi="Helvetica" w:cs="Helvetica"/>
          <w:color w:val="333333"/>
          <w:sz w:val="20"/>
          <w:szCs w:val="20"/>
          <w:lang w:eastAsia="bg-BG"/>
        </w:rPr>
        <w:lastRenderedPageBreak/>
        <w:t>such groups on an article-by-article basis; furthermore, ensure that the right to free self-identification of persons belonging to minority groups is strictly respected in the upcoming 2021 population census and that they are consulted on its methodology;</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2.</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significantly increase the budget allocated to the preservation and development of cultures of minority groups and create an effective mechanism for representatives of minorities to participate in the design of cultural policies and distribution of funding;</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3.</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ensure that all interested groups can exercise the freedom of association, as guaranteed by Article 7 of the Framework Convention. To this end, the authorities should strive to ensure legal certainty in the application of the new registration procedure for non-governmental organisations representing minority groups;</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4.</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facilitate, in co-operation with persons belonging to minority groups, public and/or private broadcasting of television and radio programmes of sufficient duration as well as support the regular publication of written news (printed or online news publications) in mother tongue to meet the needs;</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5.</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assess the need for the use of mother tongue in dealings with the authorities in areas inhabited traditionally or in substantial numbers by persons belonging to minority groups. In doing so, the authorities should determine, in line with clearly established criteria, the municipalities in which Article 10.2 of the Framework Convention applies to the respective minorities and ensure, including by providing financial assistance, that the local authorities take the necessary practical steps to implement this provision;</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6.</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refrain from abolishing official place names in languages of persons belonging to minority groups and, in co-operation with the representatives of minority groups, restore recently abolished place names at least as co-official names together with the new Bulgarian names;</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7.</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promote the provision of adequate information to children on the history, culture, languages and religion of minority groups as well as their contribution to Bulgarian society. The authorities should also revise teaching and learning materials in co-operation with persons belonging to minorities to take into account their respective sensitivities;</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t>8.</w:t>
      </w:r>
      <w:r w:rsidRPr="009439BD">
        <w:rPr>
          <w:rFonts w:ascii="Times New Roman" w:eastAsia="Times New Roman" w:hAnsi="Times New Roman" w:cs="Times New Roman"/>
          <w:color w:val="333333"/>
          <w:sz w:val="14"/>
          <w:szCs w:val="14"/>
          <w:lang w:eastAsia="bg-BG"/>
        </w:rPr>
        <w:t>           </w:t>
      </w:r>
      <w:r w:rsidRPr="009439BD">
        <w:rPr>
          <w:rFonts w:ascii="Helvetica" w:eastAsia="Times New Roman" w:hAnsi="Helvetica" w:cs="Helvetica"/>
          <w:color w:val="333333"/>
          <w:sz w:val="20"/>
          <w:szCs w:val="20"/>
          <w:lang w:eastAsia="bg-BG"/>
        </w:rPr>
        <w:t> reform the National Council for Co-operation on Ethnic and Integration Issues and split its tasks related to the National Roma Integration Strategy from those related to general policies on minority groups in such fields as culture and identity, mother tongue, and promotion of inter-ethnic tolerance and understanding as well as the implementation of the Framework Convention. The authorities should ensure that a wide range of organisations of minority groups is represented in the Council.</w:t>
      </w:r>
    </w:p>
    <w:p w:rsidR="009439BD" w:rsidRPr="009439BD" w:rsidRDefault="009439BD" w:rsidP="009439BD">
      <w:pPr>
        <w:shd w:val="clear" w:color="auto" w:fill="FFFFFF"/>
        <w:spacing w:after="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br w:type="textWrapping" w:clear="all"/>
      </w:r>
    </w:p>
    <w:p w:rsidR="009439BD" w:rsidRPr="009439BD" w:rsidRDefault="009439BD" w:rsidP="009439BD">
      <w:pPr>
        <w:shd w:val="clear" w:color="auto" w:fill="FFFFFF"/>
        <w:spacing w:before="300" w:after="300" w:line="240" w:lineRule="auto"/>
        <w:rPr>
          <w:rFonts w:ascii="Helvetica" w:eastAsia="Times New Roman" w:hAnsi="Helvetica" w:cs="Helvetica"/>
          <w:color w:val="333333"/>
          <w:sz w:val="20"/>
          <w:szCs w:val="20"/>
          <w:lang w:eastAsia="bg-BG"/>
        </w:rPr>
      </w:pPr>
      <w:r w:rsidRPr="009439BD">
        <w:rPr>
          <w:rFonts w:ascii="Helvetica" w:eastAsia="Times New Roman" w:hAnsi="Helvetica" w:cs="Helvetica"/>
          <w:color w:val="333333"/>
          <w:sz w:val="20"/>
          <w:szCs w:val="20"/>
          <w:lang w:eastAsia="bg-BG"/>
        </w:rPr>
        <w:pict>
          <v:rect id="_x0000_i1025" style="width:149.7pt;height:0" o:hrpct="330" o:hrstd="t" o:hr="t" fillcolor="#a0a0a0" stroked="f"/>
        </w:pic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hyperlink r:id="rId8" w:anchor="_ftnref1" w:history="1">
        <w:r w:rsidRPr="009439BD">
          <w:rPr>
            <w:rFonts w:ascii="Arial" w:eastAsia="Times New Roman" w:hAnsi="Arial" w:cs="Arial"/>
            <w:color w:val="129AF0"/>
            <w:sz w:val="16"/>
            <w:szCs w:val="16"/>
            <w:u w:val="single"/>
            <w:lang w:eastAsia="bg-BG"/>
          </w:rPr>
          <w:t>[1]</w:t>
        </w:r>
      </w:hyperlink>
      <w:r w:rsidRPr="009439BD">
        <w:rPr>
          <w:rFonts w:ascii="Helvetica" w:eastAsia="Times New Roman" w:hAnsi="Helvetica" w:cs="Helvetica"/>
          <w:color w:val="333333"/>
          <w:sz w:val="20"/>
          <w:szCs w:val="20"/>
          <w:lang w:eastAsia="bg-BG"/>
        </w:rPr>
        <w:t> On 17 September 1997, the Committee of Ministers adopted decision </w:t>
      </w:r>
      <w:hyperlink r:id="rId9" w:tooltip="Ad hoc committee on the implementation mechanism of the Framework Convention for the Protection of National Minorities (CAHMEC) - Final activity report" w:history="1">
        <w:r w:rsidRPr="009439BD">
          <w:rPr>
            <w:rFonts w:ascii="Helvetica" w:eastAsia="Times New Roman" w:hAnsi="Helvetica" w:cs="Helvetica"/>
            <w:color w:val="129AF0"/>
            <w:sz w:val="20"/>
            <w:szCs w:val="20"/>
            <w:u w:val="single"/>
            <w:lang w:eastAsia="bg-BG"/>
          </w:rPr>
          <w:t>CM/Del/Dec(97)601/4.5</w:t>
        </w:r>
      </w:hyperlink>
      <w:r w:rsidRPr="009439BD">
        <w:rPr>
          <w:rFonts w:ascii="Helvetica" w:eastAsia="Times New Roman" w:hAnsi="Helvetica" w:cs="Helvetica"/>
          <w:color w:val="333333"/>
          <w:sz w:val="20"/>
          <w:szCs w:val="20"/>
          <w:lang w:eastAsia="bg-BG"/>
        </w:rPr>
        <w:t>, which provides: “Decisions pursuant to Articles 24.1 and 25.2 of the Framework Convention shall be considered to be adopted if two-thirds of the representatives of the Contracting Parties casting a vote, including a majority of the representatives of the Contracting Parties entitled to sit on the Committee of Ministers, vote in favour”.</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hyperlink r:id="rId10" w:anchor="_ftnref2" w:history="1">
        <w:r w:rsidRPr="009439BD">
          <w:rPr>
            <w:rFonts w:ascii="Arial" w:eastAsia="Times New Roman" w:hAnsi="Arial" w:cs="Arial"/>
            <w:color w:val="129AF0"/>
            <w:sz w:val="16"/>
            <w:szCs w:val="16"/>
            <w:u w:val="single"/>
            <w:lang w:eastAsia="bg-BG"/>
          </w:rPr>
          <w:t>[2]</w:t>
        </w:r>
      </w:hyperlink>
      <w:r w:rsidRPr="009439BD">
        <w:rPr>
          <w:rFonts w:ascii="Helvetica" w:eastAsia="Times New Roman" w:hAnsi="Helvetica" w:cs="Helvetica"/>
          <w:color w:val="333333"/>
          <w:sz w:val="20"/>
          <w:szCs w:val="20"/>
          <w:lang w:eastAsia="bg-BG"/>
        </w:rPr>
        <w:t> The recommendations below are listed in the order of the corresponding articles of the Framework Convention.</w:t>
      </w:r>
    </w:p>
    <w:p w:rsidR="009439BD" w:rsidRPr="009439BD" w:rsidRDefault="009439BD" w:rsidP="009439BD">
      <w:pPr>
        <w:shd w:val="clear" w:color="auto" w:fill="FFFFFF"/>
        <w:spacing w:before="96" w:after="0" w:line="240" w:lineRule="auto"/>
        <w:rPr>
          <w:rFonts w:ascii="Helvetica" w:eastAsia="Times New Roman" w:hAnsi="Helvetica" w:cs="Helvetica"/>
          <w:color w:val="333333"/>
          <w:sz w:val="20"/>
          <w:szCs w:val="20"/>
          <w:lang w:eastAsia="bg-BG"/>
        </w:rPr>
      </w:pPr>
      <w:hyperlink r:id="rId11" w:anchor="_ftnref3" w:history="1">
        <w:r w:rsidRPr="009439BD">
          <w:rPr>
            <w:rFonts w:ascii="Arial" w:eastAsia="Times New Roman" w:hAnsi="Arial" w:cs="Arial"/>
            <w:color w:val="129AF0"/>
            <w:sz w:val="16"/>
            <w:szCs w:val="16"/>
            <w:u w:val="single"/>
            <w:lang w:eastAsia="bg-BG"/>
          </w:rPr>
          <w:t>[3]</w:t>
        </w:r>
      </w:hyperlink>
      <w:r w:rsidRPr="009439BD">
        <w:rPr>
          <w:rFonts w:ascii="Helvetica" w:eastAsia="Times New Roman" w:hAnsi="Helvetica" w:cs="Helvetica"/>
          <w:color w:val="333333"/>
          <w:sz w:val="20"/>
          <w:szCs w:val="20"/>
          <w:lang w:eastAsia="bg-BG"/>
        </w:rPr>
        <w:t> The recommendations below are listed in the order of the corresponding articles of the Framework Convention.</w:t>
      </w:r>
    </w:p>
    <w:p w:rsidR="005B0CA2" w:rsidRDefault="005B0CA2"/>
    <w:sectPr w:rsidR="005B0C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9BD"/>
    <w:rsid w:val="005B0CA2"/>
    <w:rsid w:val="009439BD"/>
    <w:rsid w:val="00BC75A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671EDF-E4F2-4DF5-B8C6-E1FB80525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639902">
      <w:bodyDiv w:val="1"/>
      <w:marLeft w:val="0"/>
      <w:marRight w:val="0"/>
      <w:marTop w:val="0"/>
      <w:marBottom w:val="0"/>
      <w:divBdr>
        <w:top w:val="none" w:sz="0" w:space="0" w:color="auto"/>
        <w:left w:val="none" w:sz="0" w:space="0" w:color="auto"/>
        <w:bottom w:val="none" w:sz="0" w:space="0" w:color="auto"/>
        <w:right w:val="none" w:sz="0" w:space="0" w:color="auto"/>
      </w:divBdr>
      <w:divsChild>
        <w:div w:id="1197617759">
          <w:marLeft w:val="0"/>
          <w:marRight w:val="0"/>
          <w:marTop w:val="0"/>
          <w:marBottom w:val="0"/>
          <w:divBdr>
            <w:top w:val="none" w:sz="0" w:space="0" w:color="auto"/>
            <w:left w:val="none" w:sz="0" w:space="0" w:color="auto"/>
            <w:bottom w:val="none" w:sz="0" w:space="0" w:color="auto"/>
            <w:right w:val="none" w:sz="0" w:space="0" w:color="auto"/>
          </w:divBdr>
        </w:div>
        <w:div w:id="845822541">
          <w:marLeft w:val="0"/>
          <w:marRight w:val="0"/>
          <w:marTop w:val="0"/>
          <w:marBottom w:val="0"/>
          <w:divBdr>
            <w:top w:val="none" w:sz="0" w:space="0" w:color="auto"/>
            <w:left w:val="none" w:sz="0" w:space="0" w:color="auto"/>
            <w:bottom w:val="none" w:sz="0" w:space="0" w:color="auto"/>
            <w:right w:val="none" w:sz="0" w:space="0" w:color="auto"/>
          </w:divBdr>
          <w:divsChild>
            <w:div w:id="1940404511">
              <w:marLeft w:val="0"/>
              <w:marRight w:val="0"/>
              <w:marTop w:val="0"/>
              <w:marBottom w:val="0"/>
              <w:divBdr>
                <w:top w:val="none" w:sz="0" w:space="0" w:color="auto"/>
                <w:left w:val="none" w:sz="0" w:space="0" w:color="auto"/>
                <w:bottom w:val="none" w:sz="0" w:space="0" w:color="auto"/>
                <w:right w:val="none" w:sz="0" w:space="0" w:color="auto"/>
              </w:divBdr>
            </w:div>
            <w:div w:id="1816794018">
              <w:marLeft w:val="0"/>
              <w:marRight w:val="0"/>
              <w:marTop w:val="0"/>
              <w:marBottom w:val="0"/>
              <w:divBdr>
                <w:top w:val="none" w:sz="0" w:space="0" w:color="auto"/>
                <w:left w:val="none" w:sz="0" w:space="0" w:color="auto"/>
                <w:bottom w:val="none" w:sz="0" w:space="0" w:color="auto"/>
                <w:right w:val="none" w:sz="0" w:space="0" w:color="auto"/>
              </w:divBdr>
            </w:div>
            <w:div w:id="120116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arch.coe.int/cm/pages/result_details.aspx?objectid=0900001680a0f459"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search.coe.int/cm/pages/result_details.aspx?objectid=0900001680a0f459"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earch.coe.int/cm/pages/result_details.aspx?objectid=0900001680a0f459" TargetMode="External"/><Relationship Id="rId11" Type="http://schemas.openxmlformats.org/officeDocument/2006/relationships/hyperlink" Target="https://search.coe.int/cm/pages/result_details.aspx?objectid=0900001680a0f459" TargetMode="External"/><Relationship Id="rId5" Type="http://schemas.openxmlformats.org/officeDocument/2006/relationships/hyperlink" Target="https://search.coe.int/cm/pages/result_details.aspx?objectid=0900001680a0f459" TargetMode="External"/><Relationship Id="rId10" Type="http://schemas.openxmlformats.org/officeDocument/2006/relationships/hyperlink" Target="https://search.coe.int/cm/pages/result_details.aspx?objectid=0900001680a0f459" TargetMode="External"/><Relationship Id="rId4" Type="http://schemas.openxmlformats.org/officeDocument/2006/relationships/hyperlink" Target="https://search.coe.int/cm/Pages/result_details.aspx?Reference=CM/Res(2019)49" TargetMode="External"/><Relationship Id="rId9" Type="http://schemas.openxmlformats.org/officeDocument/2006/relationships/hyperlink" Target="https://search.coe.int/cm/Pages/result_details.aspx?Reference=CM/Del/Dec(97)601/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Ахавни Топакбашян</dc:creator>
  <cp:keywords/>
  <dc:description/>
  <cp:lastModifiedBy>Ахавни Топакбашян</cp:lastModifiedBy>
  <cp:revision>1</cp:revision>
  <dcterms:created xsi:type="dcterms:W3CDTF">2024-03-18T15:45:00Z</dcterms:created>
  <dcterms:modified xsi:type="dcterms:W3CDTF">2024-03-18T15:45:00Z</dcterms:modified>
</cp:coreProperties>
</file>